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4B" w:rsidRDefault="002A644B" w:rsidP="002A644B">
      <w:pPr>
        <w:spacing w:after="480" w:line="630" w:lineRule="atLeast"/>
        <w:outlineLvl w:val="1"/>
        <w:rPr>
          <w:rFonts w:eastAsia="Times New Roman" w:cs="Arial"/>
          <w:b/>
          <w:color w:val="0E0E0E"/>
          <w:spacing w:val="-15"/>
          <w:lang w:eastAsia="en-CA"/>
        </w:rPr>
      </w:pPr>
      <w:r>
        <w:rPr>
          <w:rFonts w:eastAsia="Times New Roman" w:cs="Arial"/>
          <w:b/>
          <w:color w:val="0E0E0E"/>
          <w:spacing w:val="-15"/>
          <w:lang w:eastAsia="en-CA"/>
        </w:rPr>
        <w:t>Annual Renewals Guidelines</w:t>
      </w:r>
    </w:p>
    <w:p w:rsidR="002A644B" w:rsidRPr="002A644B" w:rsidRDefault="002A644B" w:rsidP="002A644B">
      <w:pPr>
        <w:spacing w:after="480" w:line="630" w:lineRule="atLeast"/>
        <w:outlineLvl w:val="1"/>
        <w:rPr>
          <w:rFonts w:eastAsia="Times New Roman" w:cs="Arial"/>
          <w:b/>
          <w:color w:val="0E0E0E"/>
          <w:spacing w:val="-15"/>
          <w:lang w:eastAsia="en-CA"/>
        </w:rPr>
      </w:pPr>
      <w:r w:rsidRPr="002A644B">
        <w:rPr>
          <w:rFonts w:eastAsia="Times New Roman" w:cs="Arial"/>
          <w:b/>
          <w:color w:val="0E0E0E"/>
          <w:spacing w:val="-15"/>
          <w:lang w:eastAsia="en-CA"/>
        </w:rPr>
        <w:t>Introduction</w:t>
      </w:r>
    </w:p>
    <w:p w:rsidR="002A644B" w:rsidRPr="002A644B" w:rsidRDefault="002A644B" w:rsidP="002A644B">
      <w:pPr>
        <w:spacing w:after="300" w:line="360" w:lineRule="atLeast"/>
        <w:rPr>
          <w:rFonts w:eastAsia="Times New Roman" w:cs="Arial"/>
          <w:color w:val="555555"/>
          <w:lang w:eastAsia="en-CA"/>
        </w:rPr>
      </w:pPr>
      <w:r w:rsidRPr="002A644B">
        <w:rPr>
          <w:rFonts w:eastAsia="Times New Roman" w:cs="Arial"/>
          <w:color w:val="555555"/>
          <w:lang w:eastAsia="en-CA"/>
        </w:rPr>
        <w:t>The Tri-Council Policy Statement: Ethical Conduct for Research Involving H</w:t>
      </w:r>
      <w:r>
        <w:rPr>
          <w:rFonts w:eastAsia="Times New Roman" w:cs="Arial"/>
          <w:color w:val="555555"/>
          <w:lang w:eastAsia="en-CA"/>
        </w:rPr>
        <w:t>umans, 2nd edition (TCPS 2, 2018</w:t>
      </w:r>
      <w:r w:rsidRPr="002A644B">
        <w:rPr>
          <w:rFonts w:eastAsia="Times New Roman" w:cs="Arial"/>
          <w:color w:val="555555"/>
          <w:lang w:eastAsia="en-CA"/>
        </w:rPr>
        <w:t>, Article 6.14) requires that Research Ethics Boards (REBs) engage in continuing review of ongoing research activities. Consistent with ethical guidel</w:t>
      </w:r>
      <w:r>
        <w:rPr>
          <w:rFonts w:eastAsia="Times New Roman" w:cs="Arial"/>
          <w:color w:val="555555"/>
          <w:lang w:eastAsia="en-CA"/>
        </w:rPr>
        <w:t>ines, the Saskatchewan Health Authority</w:t>
      </w:r>
      <w:r w:rsidRPr="002A644B">
        <w:rPr>
          <w:rFonts w:eastAsia="Times New Roman" w:cs="Arial"/>
          <w:color w:val="555555"/>
          <w:lang w:eastAsia="en-CA"/>
        </w:rPr>
        <w:t xml:space="preserve"> REB grants ethics approval of new research for a period of one year, after which time researchers must apply for renewed ethics approval on an ongoing basis. Researchers are also required to notify the Research Ethics Board upon completion of a study and must submit a final report. Ethical clearance shall be revoked if a satisfactory progress report is not received.</w:t>
      </w:r>
      <w:r w:rsidRPr="002A644B">
        <w:rPr>
          <w:rFonts w:eastAsia="Times New Roman" w:cs="Arial"/>
          <w:color w:val="555555"/>
          <w:lang w:eastAsia="en-CA"/>
        </w:rPr>
        <w:br/>
      </w:r>
      <w:r w:rsidRPr="002A644B">
        <w:rPr>
          <w:rFonts w:ascii="Open Sans" w:eastAsia="Times New Roman" w:hAnsi="Open Sans" w:cs="Arial"/>
          <w:color w:val="555555"/>
          <w:sz w:val="21"/>
          <w:szCs w:val="21"/>
          <w:lang w:eastAsia="en-CA"/>
        </w:rPr>
        <w:br/>
      </w:r>
      <w:r w:rsidRPr="002A644B">
        <w:rPr>
          <w:rFonts w:eastAsia="Times New Roman" w:cs="Arial"/>
          <w:b/>
          <w:bCs/>
          <w:color w:val="555555"/>
          <w:lang w:eastAsia="en-CA"/>
        </w:rPr>
        <w:t>When to Submit</w:t>
      </w:r>
    </w:p>
    <w:p w:rsidR="002A644B" w:rsidRPr="002A644B" w:rsidRDefault="002A644B" w:rsidP="002A644B">
      <w:pPr>
        <w:spacing w:after="300" w:line="360" w:lineRule="atLeast"/>
        <w:rPr>
          <w:rFonts w:eastAsia="Times New Roman" w:cs="Arial"/>
          <w:color w:val="555555"/>
          <w:lang w:eastAsia="en-CA"/>
        </w:rPr>
      </w:pPr>
      <w:r w:rsidRPr="002A644B">
        <w:rPr>
          <w:rFonts w:eastAsia="Times New Roman" w:cs="Arial"/>
          <w:color w:val="555555"/>
          <w:lang w:eastAsia="en-CA"/>
        </w:rPr>
        <w:t>Researchers must complete the form below when:</w:t>
      </w:r>
    </w:p>
    <w:p w:rsidR="002A644B" w:rsidRPr="002A644B" w:rsidRDefault="002A644B" w:rsidP="002A644B">
      <w:pPr>
        <w:numPr>
          <w:ilvl w:val="0"/>
          <w:numId w:val="1"/>
        </w:numPr>
        <w:spacing w:before="100" w:beforeAutospacing="1" w:after="100" w:afterAutospacing="1" w:line="360" w:lineRule="atLeast"/>
        <w:ind w:left="495"/>
        <w:rPr>
          <w:rFonts w:eastAsia="Times New Roman" w:cs="Arial"/>
          <w:color w:val="666666"/>
          <w:lang w:eastAsia="en-CA"/>
        </w:rPr>
      </w:pPr>
      <w:r w:rsidRPr="002A644B">
        <w:rPr>
          <w:rFonts w:eastAsia="Times New Roman" w:cs="Arial"/>
          <w:color w:val="666666"/>
          <w:lang w:eastAsia="en-CA"/>
        </w:rPr>
        <w:t xml:space="preserve">Applying for annual </w:t>
      </w:r>
      <w:proofErr w:type="spellStart"/>
      <w:r w:rsidRPr="002A644B">
        <w:rPr>
          <w:rFonts w:eastAsia="Times New Roman" w:cs="Arial"/>
          <w:color w:val="666666"/>
          <w:lang w:eastAsia="en-CA"/>
        </w:rPr>
        <w:t>reapproval</w:t>
      </w:r>
      <w:proofErr w:type="spellEnd"/>
      <w:r w:rsidRPr="002A644B">
        <w:rPr>
          <w:rFonts w:eastAsia="Times New Roman" w:cs="Arial"/>
          <w:color w:val="666666"/>
          <w:lang w:eastAsia="en-CA"/>
        </w:rPr>
        <w:t xml:space="preserve">, and </w:t>
      </w:r>
    </w:p>
    <w:p w:rsidR="002A644B" w:rsidRPr="002A644B" w:rsidRDefault="002A644B" w:rsidP="002A644B">
      <w:pPr>
        <w:numPr>
          <w:ilvl w:val="0"/>
          <w:numId w:val="1"/>
        </w:numPr>
        <w:spacing w:before="100" w:beforeAutospacing="1" w:after="100" w:afterAutospacing="1" w:line="360" w:lineRule="atLeast"/>
        <w:ind w:left="495"/>
        <w:rPr>
          <w:rFonts w:eastAsia="Times New Roman" w:cs="Arial"/>
          <w:color w:val="666666"/>
          <w:lang w:eastAsia="en-CA"/>
        </w:rPr>
      </w:pPr>
      <w:r w:rsidRPr="002A644B">
        <w:rPr>
          <w:rFonts w:eastAsia="Times New Roman" w:cs="Arial"/>
          <w:color w:val="666666"/>
          <w:lang w:eastAsia="en-CA"/>
        </w:rPr>
        <w:t xml:space="preserve">When closing a study. </w:t>
      </w:r>
    </w:p>
    <w:p w:rsidR="002A644B" w:rsidRPr="002A644B" w:rsidRDefault="002A644B" w:rsidP="002A644B">
      <w:pPr>
        <w:spacing w:after="300" w:line="360" w:lineRule="atLeast"/>
        <w:rPr>
          <w:rFonts w:eastAsia="Times New Roman" w:cs="Arial"/>
          <w:color w:val="555555"/>
          <w:lang w:eastAsia="en-CA"/>
        </w:rPr>
      </w:pPr>
      <w:r w:rsidRPr="002A644B">
        <w:rPr>
          <w:rFonts w:eastAsia="Times New Roman" w:cs="Arial"/>
          <w:color w:val="555555"/>
          <w:lang w:eastAsia="en-CA"/>
        </w:rPr>
        <w:t>Additional Documents Required</w:t>
      </w:r>
    </w:p>
    <w:p w:rsidR="002A644B" w:rsidRPr="002A644B" w:rsidRDefault="002A644B" w:rsidP="002A644B">
      <w:pPr>
        <w:spacing w:line="360" w:lineRule="atLeast"/>
        <w:rPr>
          <w:rFonts w:eastAsia="Times New Roman" w:cs="Arial"/>
          <w:color w:val="555555"/>
          <w:lang w:eastAsia="en-CA"/>
        </w:rPr>
      </w:pPr>
      <w:r w:rsidRPr="002A644B">
        <w:rPr>
          <w:rFonts w:eastAsia="Times New Roman" w:cs="Arial"/>
          <w:color w:val="555555"/>
          <w:lang w:eastAsia="en-CA"/>
        </w:rPr>
        <w:br/>
      </w:r>
      <w:r w:rsidRPr="002A644B">
        <w:rPr>
          <w:rFonts w:eastAsia="Times New Roman" w:cs="Arial"/>
          <w:b/>
          <w:bCs/>
          <w:color w:val="555555"/>
          <w:lang w:eastAsia="en-CA"/>
        </w:rPr>
        <w:t>Clinical Trials</w:t>
      </w:r>
      <w:r w:rsidRPr="002A644B">
        <w:rPr>
          <w:rFonts w:eastAsia="Times New Roman" w:cs="Arial"/>
          <w:b/>
          <w:bCs/>
          <w:color w:val="555555"/>
          <w:lang w:eastAsia="en-CA"/>
        </w:rPr>
        <w:br/>
      </w:r>
      <w:r w:rsidRPr="002A644B">
        <w:rPr>
          <w:rFonts w:eastAsia="Times New Roman" w:cs="Arial"/>
          <w:color w:val="555555"/>
          <w:lang w:eastAsia="en-CA"/>
        </w:rPr>
        <w:br/>
        <w:t xml:space="preserve">Researchers conducting clinical trials of drugs or manufactured devices must submit the most recent Data Safety Monitoring Board (DSMB) and Periodic Safety Update report (as applicable) along with their application for annual </w:t>
      </w:r>
      <w:proofErr w:type="spellStart"/>
      <w:r w:rsidRPr="002A644B">
        <w:rPr>
          <w:rFonts w:eastAsia="Times New Roman" w:cs="Arial"/>
          <w:color w:val="555555"/>
          <w:lang w:eastAsia="en-CA"/>
        </w:rPr>
        <w:t>reapproval</w:t>
      </w:r>
      <w:proofErr w:type="spellEnd"/>
      <w:r>
        <w:rPr>
          <w:rFonts w:eastAsia="Times New Roman" w:cs="Arial"/>
          <w:color w:val="555555"/>
          <w:lang w:eastAsia="en-CA"/>
        </w:rPr>
        <w:t xml:space="preserve"> if these have not been submitted prior to annual renewal</w:t>
      </w:r>
      <w:r w:rsidRPr="002A644B">
        <w:rPr>
          <w:rFonts w:eastAsia="Times New Roman" w:cs="Arial"/>
          <w:color w:val="555555"/>
          <w:lang w:eastAsia="en-CA"/>
        </w:rPr>
        <w:t>. Applications will not be processed without this report.</w:t>
      </w:r>
      <w:r w:rsidR="00991F2E">
        <w:rPr>
          <w:rFonts w:eastAsia="Times New Roman" w:cs="Arial"/>
          <w:color w:val="555555"/>
          <w:lang w:eastAsia="en-CA"/>
        </w:rPr>
        <w:t xml:space="preserve"> Please note that clinical trials will be charged a </w:t>
      </w:r>
      <w:proofErr w:type="spellStart"/>
      <w:r w:rsidR="00991F2E">
        <w:rPr>
          <w:rFonts w:eastAsia="Times New Roman" w:cs="Arial"/>
          <w:color w:val="555555"/>
          <w:lang w:eastAsia="en-CA"/>
        </w:rPr>
        <w:t>reapproval</w:t>
      </w:r>
      <w:proofErr w:type="spellEnd"/>
      <w:r w:rsidR="00991F2E">
        <w:rPr>
          <w:rFonts w:eastAsia="Times New Roman" w:cs="Arial"/>
          <w:color w:val="555555"/>
          <w:lang w:eastAsia="en-CA"/>
        </w:rPr>
        <w:t xml:space="preserve"> fee of </w:t>
      </w:r>
      <w:r w:rsidR="00CF56C9">
        <w:rPr>
          <w:rFonts w:eastAsia="Times New Roman" w:cs="Arial"/>
          <w:color w:val="555555"/>
          <w:lang w:eastAsia="en-CA"/>
        </w:rPr>
        <w:t>$750 to cover continuing review for the year post renewal.</w:t>
      </w:r>
      <w:bookmarkStart w:id="0" w:name="_GoBack"/>
      <w:bookmarkEnd w:id="0"/>
      <w:r w:rsidRPr="002A644B">
        <w:rPr>
          <w:rFonts w:eastAsia="Times New Roman" w:cs="Arial"/>
          <w:color w:val="555555"/>
          <w:lang w:eastAsia="en-CA"/>
        </w:rPr>
        <w:br/>
      </w:r>
      <w:r w:rsidRPr="002A644B">
        <w:rPr>
          <w:rFonts w:eastAsia="Times New Roman" w:cs="Arial"/>
          <w:color w:val="555555"/>
          <w:lang w:eastAsia="en-CA"/>
        </w:rPr>
        <w:br/>
      </w:r>
      <w:r w:rsidRPr="002A644B">
        <w:rPr>
          <w:rFonts w:eastAsia="Times New Roman" w:cs="Arial"/>
          <w:b/>
          <w:bCs/>
          <w:color w:val="555555"/>
          <w:lang w:eastAsia="en-CA"/>
        </w:rPr>
        <w:t>Study Closure</w:t>
      </w:r>
      <w:r w:rsidRPr="002A644B">
        <w:rPr>
          <w:rFonts w:eastAsia="Times New Roman" w:cs="Arial"/>
          <w:b/>
          <w:bCs/>
          <w:color w:val="555555"/>
          <w:lang w:eastAsia="en-CA"/>
        </w:rPr>
        <w:br/>
      </w:r>
      <w:r w:rsidRPr="002A644B">
        <w:rPr>
          <w:rFonts w:eastAsia="Times New Roman" w:cs="Arial"/>
          <w:color w:val="555555"/>
          <w:lang w:eastAsia="en-CA"/>
        </w:rPr>
        <w:br/>
        <w:t xml:space="preserve">Upon study closure, researchers </w:t>
      </w:r>
      <w:proofErr w:type="gramStart"/>
      <w:r w:rsidRPr="002A644B">
        <w:rPr>
          <w:rFonts w:eastAsia="Times New Roman" w:cs="Arial"/>
          <w:color w:val="555555"/>
          <w:lang w:eastAsia="en-CA"/>
        </w:rPr>
        <w:t>are</w:t>
      </w:r>
      <w:proofErr w:type="gramEnd"/>
      <w:r w:rsidRPr="002A644B">
        <w:rPr>
          <w:rFonts w:eastAsia="Times New Roman" w:cs="Arial"/>
          <w:color w:val="555555"/>
          <w:lang w:eastAsia="en-CA"/>
        </w:rPr>
        <w:t xml:space="preserve"> requested to submit (1) a final summary report, and (2) a list of all </w:t>
      </w:r>
      <w:r w:rsidRPr="002A644B">
        <w:rPr>
          <w:rFonts w:eastAsia="Times New Roman" w:cs="Arial"/>
          <w:color w:val="555555"/>
          <w:lang w:eastAsia="en-CA"/>
        </w:rPr>
        <w:lastRenderedPageBreak/>
        <w:t>publications and presentations arising from the research. These documents may follow at a later date if they are not yet available.</w:t>
      </w:r>
    </w:p>
    <w:tbl>
      <w:tblPr>
        <w:tblW w:w="5000" w:type="pct"/>
        <w:tblCellMar>
          <w:top w:w="15" w:type="dxa"/>
          <w:left w:w="15" w:type="dxa"/>
          <w:bottom w:w="15" w:type="dxa"/>
          <w:right w:w="15" w:type="dxa"/>
        </w:tblCellMar>
        <w:tblLook w:val="04A0" w:firstRow="1" w:lastRow="0" w:firstColumn="1" w:lastColumn="0" w:noHBand="0" w:noVBand="1"/>
      </w:tblPr>
      <w:tblGrid>
        <w:gridCol w:w="300"/>
        <w:gridCol w:w="9060"/>
      </w:tblGrid>
      <w:tr w:rsidR="002A644B" w:rsidRPr="002A644B" w:rsidTr="002A644B">
        <w:tc>
          <w:tcPr>
            <w:tcW w:w="300" w:type="dxa"/>
            <w:shd w:val="clear" w:color="auto" w:fill="auto"/>
            <w:tcMar>
              <w:top w:w="0" w:type="dxa"/>
              <w:left w:w="0" w:type="dxa"/>
              <w:bottom w:w="0" w:type="dxa"/>
              <w:right w:w="0" w:type="dxa"/>
            </w:tcMar>
            <w:hideMark/>
          </w:tcPr>
          <w:p w:rsidR="002A644B" w:rsidRPr="002A644B" w:rsidRDefault="002A644B" w:rsidP="002A644B">
            <w:pPr>
              <w:spacing w:after="300" w:line="330" w:lineRule="atLeast"/>
              <w:rPr>
                <w:rFonts w:eastAsia="Times New Roman" w:cs="Times New Roman"/>
                <w:color w:val="666666"/>
                <w:lang w:eastAsia="en-CA"/>
              </w:rPr>
            </w:pPr>
          </w:p>
        </w:tc>
        <w:tc>
          <w:tcPr>
            <w:tcW w:w="0" w:type="auto"/>
            <w:shd w:val="clear" w:color="auto" w:fill="auto"/>
            <w:tcMar>
              <w:top w:w="0" w:type="dxa"/>
              <w:left w:w="0" w:type="dxa"/>
              <w:bottom w:w="0" w:type="dxa"/>
              <w:right w:w="0" w:type="dxa"/>
            </w:tcMar>
            <w:vAlign w:val="center"/>
            <w:hideMark/>
          </w:tcPr>
          <w:p w:rsidR="002A644B" w:rsidRPr="002A644B" w:rsidRDefault="002A644B" w:rsidP="002A644B">
            <w:pPr>
              <w:spacing w:line="405" w:lineRule="atLeast"/>
              <w:outlineLvl w:val="3"/>
              <w:rPr>
                <w:rFonts w:eastAsia="Times New Roman" w:cs="Times New Roman"/>
                <w:color w:val="00833F"/>
                <w:lang w:eastAsia="en-CA"/>
              </w:rPr>
            </w:pPr>
          </w:p>
        </w:tc>
      </w:tr>
    </w:tbl>
    <w:p w:rsidR="002A644B" w:rsidRPr="002A644B" w:rsidRDefault="002A644B" w:rsidP="002A644B">
      <w:pPr>
        <w:spacing w:line="360" w:lineRule="atLeast"/>
        <w:rPr>
          <w:rFonts w:eastAsia="Times New Roman" w:cs="Arial"/>
          <w:b/>
          <w:color w:val="555555"/>
          <w:lang w:eastAsia="en-CA"/>
        </w:rPr>
      </w:pPr>
      <w:r>
        <w:rPr>
          <w:rFonts w:eastAsia="Times New Roman" w:cs="Arial"/>
          <w:b/>
          <w:color w:val="555555"/>
          <w:lang w:eastAsia="en-CA"/>
        </w:rPr>
        <w:t>Submission Deadlines</w:t>
      </w:r>
    </w:p>
    <w:p w:rsidR="002A644B" w:rsidRPr="002A644B" w:rsidRDefault="002A644B" w:rsidP="002A644B">
      <w:pPr>
        <w:spacing w:line="360" w:lineRule="atLeast"/>
        <w:rPr>
          <w:rFonts w:eastAsia="Times New Roman" w:cs="Arial"/>
          <w:color w:val="555555"/>
          <w:lang w:eastAsia="en-CA"/>
        </w:rPr>
      </w:pPr>
      <w:r w:rsidRPr="002A644B">
        <w:rPr>
          <w:rFonts w:eastAsia="Times New Roman" w:cs="Arial"/>
          <w:color w:val="555555"/>
          <w:lang w:eastAsia="en-CA"/>
        </w:rPr>
        <w:t xml:space="preserve">Submission deadlines for annual </w:t>
      </w:r>
      <w:proofErr w:type="spellStart"/>
      <w:r w:rsidRPr="002A644B">
        <w:rPr>
          <w:rFonts w:eastAsia="Times New Roman" w:cs="Arial"/>
          <w:color w:val="555555"/>
          <w:lang w:eastAsia="en-CA"/>
        </w:rPr>
        <w:t>reapproval</w:t>
      </w:r>
      <w:proofErr w:type="spellEnd"/>
      <w:r w:rsidRPr="002A644B">
        <w:rPr>
          <w:rFonts w:eastAsia="Times New Roman" w:cs="Arial"/>
          <w:color w:val="555555"/>
          <w:lang w:eastAsia="en-CA"/>
        </w:rPr>
        <w:t xml:space="preserve"> are summarized below. Please refer to the section that applies to your project for more information.</w:t>
      </w:r>
    </w:p>
    <w:tbl>
      <w:tblPr>
        <w:tblW w:w="5000" w:type="pct"/>
        <w:tblCellMar>
          <w:top w:w="15" w:type="dxa"/>
          <w:left w:w="15" w:type="dxa"/>
          <w:bottom w:w="15" w:type="dxa"/>
          <w:right w:w="15" w:type="dxa"/>
        </w:tblCellMar>
        <w:tblLook w:val="04A0" w:firstRow="1" w:lastRow="0" w:firstColumn="1" w:lastColumn="0" w:noHBand="0" w:noVBand="1"/>
      </w:tblPr>
      <w:tblGrid>
        <w:gridCol w:w="4702"/>
        <w:gridCol w:w="4658"/>
      </w:tblGrid>
      <w:tr w:rsidR="002A644B" w:rsidRPr="002A644B" w:rsidTr="002A644B">
        <w:tc>
          <w:tcPr>
            <w:tcW w:w="7935" w:type="dxa"/>
            <w:shd w:val="clear" w:color="auto" w:fill="auto"/>
            <w:tcMar>
              <w:top w:w="0" w:type="dxa"/>
              <w:left w:w="0" w:type="dxa"/>
              <w:bottom w:w="0" w:type="dxa"/>
              <w:right w:w="0" w:type="dxa"/>
            </w:tcMar>
            <w:vAlign w:val="center"/>
            <w:hideMark/>
          </w:tcPr>
          <w:p w:rsidR="002A644B" w:rsidRPr="002A644B" w:rsidRDefault="002A644B" w:rsidP="002A644B">
            <w:pPr>
              <w:spacing w:after="300" w:line="330" w:lineRule="atLeast"/>
              <w:rPr>
                <w:rFonts w:eastAsia="Times New Roman" w:cs="Times New Roman"/>
                <w:color w:val="666666"/>
                <w:lang w:eastAsia="en-CA"/>
              </w:rPr>
            </w:pPr>
            <w:r w:rsidRPr="002A644B">
              <w:rPr>
                <w:rFonts w:eastAsia="Times New Roman" w:cs="Times New Roman"/>
                <w:b/>
                <w:bCs/>
                <w:color w:val="666666"/>
                <w:lang w:eastAsia="en-CA"/>
              </w:rPr>
              <w:t>Original review conducted by:</w:t>
            </w:r>
          </w:p>
        </w:tc>
        <w:tc>
          <w:tcPr>
            <w:tcW w:w="7950" w:type="dxa"/>
            <w:shd w:val="clear" w:color="auto" w:fill="auto"/>
            <w:tcMar>
              <w:top w:w="0" w:type="dxa"/>
              <w:left w:w="0" w:type="dxa"/>
              <w:bottom w:w="0" w:type="dxa"/>
              <w:right w:w="0" w:type="dxa"/>
            </w:tcMar>
            <w:vAlign w:val="center"/>
            <w:hideMark/>
          </w:tcPr>
          <w:p w:rsidR="002A644B" w:rsidRPr="002A644B" w:rsidRDefault="002A644B" w:rsidP="002A644B">
            <w:pPr>
              <w:spacing w:after="300" w:line="330" w:lineRule="atLeast"/>
              <w:rPr>
                <w:rFonts w:eastAsia="Times New Roman" w:cs="Times New Roman"/>
                <w:color w:val="666666"/>
                <w:lang w:eastAsia="en-CA"/>
              </w:rPr>
            </w:pPr>
            <w:r w:rsidRPr="002A644B">
              <w:rPr>
                <w:rFonts w:eastAsia="Times New Roman" w:cs="Times New Roman"/>
                <w:b/>
                <w:bCs/>
                <w:color w:val="666666"/>
                <w:lang w:eastAsia="en-CA"/>
              </w:rPr>
              <w:t>Submit:</w:t>
            </w:r>
          </w:p>
        </w:tc>
      </w:tr>
      <w:tr w:rsidR="002A644B" w:rsidRPr="002A644B" w:rsidTr="002A644B">
        <w:tc>
          <w:tcPr>
            <w:tcW w:w="7935" w:type="dxa"/>
            <w:shd w:val="clear" w:color="auto" w:fill="auto"/>
            <w:tcMar>
              <w:top w:w="0" w:type="dxa"/>
              <w:left w:w="0" w:type="dxa"/>
              <w:bottom w:w="0" w:type="dxa"/>
              <w:right w:w="0" w:type="dxa"/>
            </w:tcMar>
            <w:vAlign w:val="center"/>
            <w:hideMark/>
          </w:tcPr>
          <w:p w:rsidR="002A644B" w:rsidRPr="002A644B" w:rsidRDefault="002A644B" w:rsidP="002A644B">
            <w:pPr>
              <w:spacing w:after="300" w:line="330" w:lineRule="atLeast"/>
              <w:rPr>
                <w:rFonts w:eastAsia="Times New Roman" w:cs="Times New Roman"/>
                <w:color w:val="666666"/>
                <w:lang w:eastAsia="en-CA"/>
              </w:rPr>
            </w:pPr>
            <w:r w:rsidRPr="002A644B">
              <w:rPr>
                <w:rFonts w:eastAsia="Times New Roman" w:cs="Times New Roman"/>
                <w:color w:val="666666"/>
                <w:lang w:eastAsia="en-CA"/>
              </w:rPr>
              <w:t>Delegated review</w:t>
            </w:r>
          </w:p>
        </w:tc>
        <w:tc>
          <w:tcPr>
            <w:tcW w:w="7950" w:type="dxa"/>
            <w:shd w:val="clear" w:color="auto" w:fill="auto"/>
            <w:tcMar>
              <w:top w:w="0" w:type="dxa"/>
              <w:left w:w="0" w:type="dxa"/>
              <w:bottom w:w="0" w:type="dxa"/>
              <w:right w:w="0" w:type="dxa"/>
            </w:tcMar>
            <w:vAlign w:val="center"/>
            <w:hideMark/>
          </w:tcPr>
          <w:p w:rsidR="002A644B" w:rsidRPr="002A644B" w:rsidRDefault="002A644B" w:rsidP="002A644B">
            <w:pPr>
              <w:spacing w:after="300" w:line="330" w:lineRule="atLeast"/>
              <w:rPr>
                <w:rFonts w:eastAsia="Times New Roman" w:cs="Times New Roman"/>
                <w:color w:val="666666"/>
                <w:lang w:eastAsia="en-CA"/>
              </w:rPr>
            </w:pPr>
            <w:r w:rsidRPr="002A644B">
              <w:rPr>
                <w:rFonts w:eastAsia="Times New Roman" w:cs="Times New Roman"/>
                <w:color w:val="666666"/>
                <w:lang w:eastAsia="en-CA"/>
              </w:rPr>
              <w:t>10 business days prior to expiry</w:t>
            </w:r>
          </w:p>
        </w:tc>
      </w:tr>
      <w:tr w:rsidR="002A644B" w:rsidRPr="002A644B" w:rsidTr="002A644B">
        <w:tc>
          <w:tcPr>
            <w:tcW w:w="7935" w:type="dxa"/>
            <w:shd w:val="clear" w:color="auto" w:fill="auto"/>
            <w:tcMar>
              <w:top w:w="0" w:type="dxa"/>
              <w:left w:w="0" w:type="dxa"/>
              <w:bottom w:w="0" w:type="dxa"/>
              <w:right w:w="0" w:type="dxa"/>
            </w:tcMar>
            <w:vAlign w:val="center"/>
            <w:hideMark/>
          </w:tcPr>
          <w:p w:rsidR="002A644B" w:rsidRPr="002A644B" w:rsidRDefault="002A644B" w:rsidP="002A644B">
            <w:pPr>
              <w:spacing w:after="300" w:line="330" w:lineRule="atLeast"/>
              <w:rPr>
                <w:rFonts w:eastAsia="Times New Roman" w:cs="Times New Roman"/>
                <w:color w:val="666666"/>
                <w:lang w:eastAsia="en-CA"/>
              </w:rPr>
            </w:pPr>
            <w:r w:rsidRPr="002A644B">
              <w:rPr>
                <w:rFonts w:eastAsia="Times New Roman" w:cs="Times New Roman"/>
                <w:color w:val="666666"/>
                <w:lang w:eastAsia="en-CA"/>
              </w:rPr>
              <w:t xml:space="preserve">Full board review requiring full board </w:t>
            </w:r>
            <w:proofErr w:type="spellStart"/>
            <w:r w:rsidRPr="002A644B">
              <w:rPr>
                <w:rFonts w:eastAsia="Times New Roman" w:cs="Times New Roman"/>
                <w:color w:val="666666"/>
                <w:lang w:eastAsia="en-CA"/>
              </w:rPr>
              <w:t>reapproval</w:t>
            </w:r>
            <w:proofErr w:type="spellEnd"/>
          </w:p>
        </w:tc>
        <w:tc>
          <w:tcPr>
            <w:tcW w:w="7950" w:type="dxa"/>
            <w:shd w:val="clear" w:color="auto" w:fill="auto"/>
            <w:tcMar>
              <w:top w:w="0" w:type="dxa"/>
              <w:left w:w="0" w:type="dxa"/>
              <w:bottom w:w="0" w:type="dxa"/>
              <w:right w:w="0" w:type="dxa"/>
            </w:tcMar>
            <w:vAlign w:val="center"/>
            <w:hideMark/>
          </w:tcPr>
          <w:p w:rsidR="002A644B" w:rsidRPr="002A644B" w:rsidRDefault="002A644B" w:rsidP="002A644B">
            <w:pPr>
              <w:spacing w:after="300" w:line="330" w:lineRule="atLeast"/>
              <w:rPr>
                <w:rFonts w:eastAsia="Times New Roman" w:cs="Times New Roman"/>
                <w:color w:val="666666"/>
                <w:lang w:eastAsia="en-CA"/>
              </w:rPr>
            </w:pPr>
            <w:r w:rsidRPr="002A644B">
              <w:rPr>
                <w:rFonts w:eastAsia="Times New Roman" w:cs="Times New Roman"/>
                <w:color w:val="666666"/>
                <w:lang w:eastAsia="en-CA"/>
              </w:rPr>
              <w:t>See REB meeting deadlines</w:t>
            </w:r>
          </w:p>
        </w:tc>
      </w:tr>
      <w:tr w:rsidR="002A644B" w:rsidRPr="002A644B" w:rsidTr="002A644B">
        <w:tc>
          <w:tcPr>
            <w:tcW w:w="7935" w:type="dxa"/>
            <w:shd w:val="clear" w:color="auto" w:fill="auto"/>
            <w:tcMar>
              <w:top w:w="0" w:type="dxa"/>
              <w:left w:w="0" w:type="dxa"/>
              <w:bottom w:w="0" w:type="dxa"/>
              <w:right w:w="0" w:type="dxa"/>
            </w:tcMar>
            <w:vAlign w:val="center"/>
            <w:hideMark/>
          </w:tcPr>
          <w:p w:rsidR="002A644B" w:rsidRPr="002A644B" w:rsidRDefault="002A644B" w:rsidP="002A644B">
            <w:pPr>
              <w:spacing w:after="300" w:line="330" w:lineRule="atLeast"/>
              <w:rPr>
                <w:rFonts w:eastAsia="Times New Roman" w:cs="Times New Roman"/>
                <w:color w:val="666666"/>
                <w:lang w:eastAsia="en-CA"/>
              </w:rPr>
            </w:pPr>
            <w:r w:rsidRPr="002A644B">
              <w:rPr>
                <w:rFonts w:eastAsia="Times New Roman" w:cs="Times New Roman"/>
                <w:color w:val="666666"/>
                <w:lang w:eastAsia="en-CA"/>
              </w:rPr>
              <w:t xml:space="preserve">Eligible for delegated </w:t>
            </w:r>
            <w:proofErr w:type="spellStart"/>
            <w:r w:rsidRPr="002A644B">
              <w:rPr>
                <w:rFonts w:eastAsia="Times New Roman" w:cs="Times New Roman"/>
                <w:color w:val="666666"/>
                <w:lang w:eastAsia="en-CA"/>
              </w:rPr>
              <w:t>reapproval</w:t>
            </w:r>
            <w:proofErr w:type="spellEnd"/>
          </w:p>
        </w:tc>
        <w:tc>
          <w:tcPr>
            <w:tcW w:w="7950" w:type="dxa"/>
            <w:shd w:val="clear" w:color="auto" w:fill="auto"/>
            <w:tcMar>
              <w:top w:w="0" w:type="dxa"/>
              <w:left w:w="0" w:type="dxa"/>
              <w:bottom w:w="0" w:type="dxa"/>
              <w:right w:w="0" w:type="dxa"/>
            </w:tcMar>
            <w:vAlign w:val="center"/>
            <w:hideMark/>
          </w:tcPr>
          <w:p w:rsidR="002A644B" w:rsidRPr="002A644B" w:rsidRDefault="002A644B" w:rsidP="002A644B">
            <w:pPr>
              <w:spacing w:after="300" w:line="330" w:lineRule="atLeast"/>
              <w:rPr>
                <w:rFonts w:eastAsia="Times New Roman" w:cs="Times New Roman"/>
                <w:color w:val="666666"/>
                <w:lang w:eastAsia="en-CA"/>
              </w:rPr>
            </w:pPr>
            <w:r w:rsidRPr="002A644B">
              <w:rPr>
                <w:rFonts w:eastAsia="Times New Roman" w:cs="Times New Roman"/>
                <w:color w:val="666666"/>
                <w:lang w:eastAsia="en-CA"/>
              </w:rPr>
              <w:t>10 business days prior to expiry</w:t>
            </w:r>
          </w:p>
        </w:tc>
      </w:tr>
    </w:tbl>
    <w:p w:rsidR="002A644B" w:rsidRPr="002A644B" w:rsidRDefault="002A644B" w:rsidP="002A644B">
      <w:pPr>
        <w:spacing w:after="300" w:line="360" w:lineRule="atLeast"/>
        <w:rPr>
          <w:rFonts w:eastAsia="Times New Roman" w:cs="Arial"/>
          <w:color w:val="555555"/>
          <w:lang w:eastAsia="en-CA"/>
        </w:rPr>
      </w:pPr>
      <w:r w:rsidRPr="002A644B">
        <w:rPr>
          <w:rFonts w:eastAsia="Times New Roman" w:cs="Arial"/>
          <w:b/>
          <w:bCs/>
          <w:color w:val="555555"/>
          <w:lang w:eastAsia="en-CA"/>
        </w:rPr>
        <w:t>Projects Originally Approved via Delegated Review</w:t>
      </w:r>
    </w:p>
    <w:p w:rsidR="002A644B" w:rsidRPr="002A644B" w:rsidRDefault="002A644B" w:rsidP="002A644B">
      <w:pPr>
        <w:spacing w:after="300" w:line="360" w:lineRule="atLeast"/>
        <w:rPr>
          <w:rFonts w:eastAsia="Times New Roman" w:cs="Arial"/>
          <w:color w:val="555555"/>
          <w:lang w:eastAsia="en-CA"/>
        </w:rPr>
      </w:pPr>
      <w:r w:rsidRPr="002A644B">
        <w:rPr>
          <w:rFonts w:eastAsia="Times New Roman" w:cs="Arial"/>
          <w:color w:val="555555"/>
          <w:lang w:eastAsia="en-CA"/>
        </w:rPr>
        <w:br/>
        <w:t>Applications that originally underwent delegated review must be received at least 10 business days prior to the expiry date listed on your most recent approval certificate in order to ensure that approval does not lapse.</w:t>
      </w:r>
    </w:p>
    <w:p w:rsidR="002A644B" w:rsidRPr="002A644B" w:rsidRDefault="002A644B" w:rsidP="002A644B">
      <w:pPr>
        <w:spacing w:after="300" w:line="360" w:lineRule="atLeast"/>
        <w:rPr>
          <w:rFonts w:eastAsia="Times New Roman" w:cs="Arial"/>
          <w:color w:val="555555"/>
          <w:lang w:eastAsia="en-CA"/>
        </w:rPr>
      </w:pPr>
      <w:r w:rsidRPr="002A644B">
        <w:rPr>
          <w:rFonts w:eastAsia="Times New Roman" w:cs="Arial"/>
          <w:b/>
          <w:bCs/>
          <w:color w:val="555555"/>
          <w:lang w:eastAsia="en-CA"/>
        </w:rPr>
        <w:t>Projects Originally Approved via Full Board Review</w:t>
      </w:r>
    </w:p>
    <w:p w:rsidR="002A644B" w:rsidRPr="002A644B" w:rsidRDefault="002A644B" w:rsidP="002A644B">
      <w:pPr>
        <w:spacing w:after="300" w:line="360" w:lineRule="atLeast"/>
        <w:rPr>
          <w:rFonts w:eastAsia="Times New Roman" w:cs="Arial"/>
          <w:color w:val="555555"/>
          <w:lang w:eastAsia="en-CA"/>
        </w:rPr>
      </w:pPr>
      <w:r w:rsidRPr="002A644B">
        <w:rPr>
          <w:rFonts w:eastAsia="Times New Roman" w:cs="Arial"/>
          <w:color w:val="555555"/>
          <w:lang w:eastAsia="en-CA"/>
        </w:rPr>
        <w:t xml:space="preserve">A project originally reviewed by the full board (above minimum risk) may only undergo delegated review for annual </w:t>
      </w:r>
      <w:proofErr w:type="spellStart"/>
      <w:r w:rsidRPr="002A644B">
        <w:rPr>
          <w:rFonts w:eastAsia="Times New Roman" w:cs="Arial"/>
          <w:color w:val="555555"/>
          <w:lang w:eastAsia="en-CA"/>
        </w:rPr>
        <w:t>reapproval</w:t>
      </w:r>
      <w:proofErr w:type="spellEnd"/>
      <w:r w:rsidRPr="002A644B">
        <w:rPr>
          <w:rFonts w:eastAsia="Times New Roman" w:cs="Arial"/>
          <w:color w:val="555555"/>
          <w:lang w:eastAsia="en-CA"/>
        </w:rPr>
        <w:t xml:space="preserve"> under the following circumstances:</w:t>
      </w:r>
    </w:p>
    <w:p w:rsidR="002A644B" w:rsidRPr="002A644B" w:rsidRDefault="002A644B" w:rsidP="002A644B">
      <w:pPr>
        <w:numPr>
          <w:ilvl w:val="0"/>
          <w:numId w:val="2"/>
        </w:numPr>
        <w:spacing w:before="100" w:beforeAutospacing="1" w:after="100" w:afterAutospacing="1" w:line="360" w:lineRule="atLeast"/>
        <w:ind w:left="495"/>
        <w:rPr>
          <w:rFonts w:eastAsia="Times New Roman" w:cs="Arial"/>
          <w:color w:val="666666"/>
          <w:lang w:eastAsia="en-CA"/>
        </w:rPr>
      </w:pPr>
      <w:r w:rsidRPr="002A644B">
        <w:rPr>
          <w:rFonts w:eastAsia="Times New Roman" w:cs="Arial"/>
          <w:color w:val="666666"/>
          <w:lang w:eastAsia="en-CA"/>
        </w:rPr>
        <w:t>annual renewals of more than minimal risk research where the remaining research-attributable risk is minimal e.g., the research will no longer involve new interventions to current participants and no additional participants will be enrolled in the study;</w:t>
      </w:r>
    </w:p>
    <w:p w:rsidR="002A644B" w:rsidRPr="002A644B" w:rsidRDefault="002A644B" w:rsidP="002A644B">
      <w:pPr>
        <w:numPr>
          <w:ilvl w:val="0"/>
          <w:numId w:val="2"/>
        </w:numPr>
        <w:spacing w:before="100" w:beforeAutospacing="1" w:after="100" w:afterAutospacing="1" w:line="360" w:lineRule="atLeast"/>
        <w:ind w:left="495"/>
        <w:rPr>
          <w:rFonts w:eastAsia="Times New Roman" w:cs="Arial"/>
          <w:color w:val="666666"/>
          <w:lang w:eastAsia="en-CA"/>
        </w:rPr>
      </w:pPr>
      <w:r w:rsidRPr="002A644B">
        <w:rPr>
          <w:rFonts w:eastAsia="Times New Roman" w:cs="Arial"/>
          <w:color w:val="666666"/>
          <w:lang w:eastAsia="en-CA"/>
        </w:rPr>
        <w:t>annual renewals of more than minimal risk research in which there has been:</w:t>
      </w:r>
    </w:p>
    <w:p w:rsidR="002A644B" w:rsidRPr="002A644B" w:rsidRDefault="002A644B" w:rsidP="002A644B">
      <w:pPr>
        <w:numPr>
          <w:ilvl w:val="1"/>
          <w:numId w:val="2"/>
        </w:numPr>
        <w:spacing w:before="100" w:beforeAutospacing="1" w:after="100" w:afterAutospacing="1" w:line="360" w:lineRule="atLeast"/>
        <w:ind w:left="1215"/>
        <w:rPr>
          <w:rFonts w:eastAsia="Times New Roman" w:cs="Arial"/>
          <w:color w:val="666666"/>
          <w:lang w:eastAsia="en-CA"/>
        </w:rPr>
      </w:pPr>
      <w:r w:rsidRPr="002A644B">
        <w:rPr>
          <w:rFonts w:eastAsia="Times New Roman" w:cs="Arial"/>
          <w:color w:val="666666"/>
          <w:lang w:eastAsia="en-CA"/>
        </w:rPr>
        <w:t xml:space="preserve">no significant changes to the research, </w:t>
      </w:r>
    </w:p>
    <w:p w:rsidR="002A644B" w:rsidRPr="002A644B" w:rsidRDefault="002A644B" w:rsidP="002A644B">
      <w:pPr>
        <w:numPr>
          <w:ilvl w:val="1"/>
          <w:numId w:val="2"/>
        </w:numPr>
        <w:spacing w:before="100" w:beforeAutospacing="1" w:after="100" w:afterAutospacing="1" w:line="360" w:lineRule="atLeast"/>
        <w:ind w:left="1215"/>
        <w:rPr>
          <w:rFonts w:eastAsia="Times New Roman" w:cs="Arial"/>
          <w:color w:val="666666"/>
          <w:lang w:eastAsia="en-CA"/>
        </w:rPr>
      </w:pPr>
      <w:r w:rsidRPr="002A644B">
        <w:rPr>
          <w:rFonts w:eastAsia="Times New Roman" w:cs="Arial"/>
          <w:color w:val="666666"/>
          <w:lang w:eastAsia="en-CA"/>
        </w:rPr>
        <w:t>no increase in risk to (or other ethical implications for) the participants since the most recent review by the full REB, and</w:t>
      </w:r>
    </w:p>
    <w:p w:rsidR="002A644B" w:rsidRPr="002A644B" w:rsidRDefault="002A644B" w:rsidP="002A644B">
      <w:pPr>
        <w:numPr>
          <w:ilvl w:val="1"/>
          <w:numId w:val="2"/>
        </w:numPr>
        <w:spacing w:before="100" w:beforeAutospacing="1" w:after="100" w:afterAutospacing="1" w:line="360" w:lineRule="atLeast"/>
        <w:ind w:left="1215"/>
        <w:rPr>
          <w:rFonts w:eastAsia="Times New Roman" w:cs="Arial"/>
          <w:color w:val="666666"/>
          <w:lang w:eastAsia="en-CA"/>
        </w:rPr>
      </w:pPr>
      <w:proofErr w:type="gramStart"/>
      <w:r w:rsidRPr="002A644B">
        <w:rPr>
          <w:rFonts w:eastAsia="Times New Roman" w:cs="Arial"/>
          <w:color w:val="666666"/>
          <w:lang w:eastAsia="en-CA"/>
        </w:rPr>
        <w:t>the</w:t>
      </w:r>
      <w:proofErr w:type="gramEnd"/>
      <w:r w:rsidRPr="002A644B">
        <w:rPr>
          <w:rFonts w:eastAsia="Times New Roman" w:cs="Arial"/>
          <w:color w:val="666666"/>
          <w:lang w:eastAsia="en-CA"/>
        </w:rPr>
        <w:t xml:space="preserve"> REB Chair has determined that the delegated review process is appropriate. (see TCPS 2, 2</w:t>
      </w:r>
      <w:r>
        <w:rPr>
          <w:rFonts w:eastAsia="Times New Roman" w:cs="Arial"/>
          <w:color w:val="666666"/>
          <w:lang w:eastAsia="en-CA"/>
        </w:rPr>
        <w:t>018</w:t>
      </w:r>
      <w:r w:rsidRPr="002A644B">
        <w:rPr>
          <w:rFonts w:eastAsia="Times New Roman" w:cs="Arial"/>
          <w:color w:val="666666"/>
          <w:lang w:eastAsia="en-CA"/>
        </w:rPr>
        <w:t>, Article 6.12)</w:t>
      </w:r>
    </w:p>
    <w:p w:rsidR="002A644B" w:rsidRPr="002A644B" w:rsidRDefault="002A644B" w:rsidP="002A644B">
      <w:pPr>
        <w:spacing w:after="300" w:line="360" w:lineRule="atLeast"/>
        <w:rPr>
          <w:rFonts w:eastAsia="Times New Roman" w:cs="Arial"/>
          <w:color w:val="555555"/>
          <w:lang w:eastAsia="en-CA"/>
        </w:rPr>
      </w:pPr>
      <w:r w:rsidRPr="002A644B">
        <w:rPr>
          <w:rFonts w:eastAsia="Times New Roman" w:cs="Arial"/>
          <w:color w:val="555555"/>
          <w:lang w:eastAsia="en-CA"/>
        </w:rPr>
        <w:t xml:space="preserve">Applications for </w:t>
      </w:r>
      <w:proofErr w:type="spellStart"/>
      <w:r w:rsidRPr="002A644B">
        <w:rPr>
          <w:rFonts w:eastAsia="Times New Roman" w:cs="Arial"/>
          <w:color w:val="555555"/>
          <w:lang w:eastAsia="en-CA"/>
        </w:rPr>
        <w:t>reapproval</w:t>
      </w:r>
      <w:proofErr w:type="spellEnd"/>
      <w:r w:rsidRPr="002A644B">
        <w:rPr>
          <w:rFonts w:eastAsia="Times New Roman" w:cs="Arial"/>
          <w:color w:val="555555"/>
          <w:lang w:eastAsia="en-CA"/>
        </w:rPr>
        <w:t xml:space="preserve"> for all clinical trials in which enrollment and/or interventions are still ongoing should be submitted with the assumption that full board review will be required.</w:t>
      </w:r>
    </w:p>
    <w:p w:rsidR="002A644B" w:rsidRPr="002A644B" w:rsidRDefault="002A644B" w:rsidP="002A644B">
      <w:pPr>
        <w:spacing w:line="360" w:lineRule="atLeast"/>
        <w:rPr>
          <w:rFonts w:eastAsia="Times New Roman" w:cs="Arial"/>
          <w:color w:val="555555"/>
          <w:lang w:eastAsia="en-CA"/>
        </w:rPr>
      </w:pPr>
      <w:r w:rsidRPr="002A644B">
        <w:rPr>
          <w:rFonts w:eastAsia="Times New Roman" w:cs="Arial"/>
          <w:b/>
          <w:bCs/>
          <w:color w:val="555555"/>
          <w:lang w:eastAsia="en-CA"/>
        </w:rPr>
        <w:lastRenderedPageBreak/>
        <w:t>What to Expect</w:t>
      </w:r>
      <w:r w:rsidRPr="002A644B">
        <w:rPr>
          <w:rFonts w:eastAsia="Times New Roman" w:cs="Arial"/>
          <w:b/>
          <w:bCs/>
          <w:color w:val="555555"/>
          <w:lang w:eastAsia="en-CA"/>
        </w:rPr>
        <w:br/>
      </w:r>
      <w:r w:rsidRPr="002A644B">
        <w:rPr>
          <w:rFonts w:eastAsia="Times New Roman" w:cs="Arial"/>
          <w:color w:val="555555"/>
          <w:lang w:eastAsia="en-CA"/>
        </w:rPr>
        <w:br/>
      </w:r>
      <w:proofErr w:type="gramStart"/>
      <w:r w:rsidRPr="002A644B">
        <w:rPr>
          <w:rFonts w:eastAsia="Times New Roman" w:cs="Arial"/>
          <w:color w:val="555555"/>
          <w:lang w:eastAsia="en-CA"/>
        </w:rPr>
        <w:t>Once</w:t>
      </w:r>
      <w:proofErr w:type="gramEnd"/>
      <w:r w:rsidRPr="002A644B">
        <w:rPr>
          <w:rFonts w:eastAsia="Times New Roman" w:cs="Arial"/>
          <w:color w:val="555555"/>
          <w:lang w:eastAsia="en-CA"/>
        </w:rPr>
        <w:t xml:space="preserve"> your application for annual </w:t>
      </w:r>
      <w:proofErr w:type="spellStart"/>
      <w:r w:rsidRPr="002A644B">
        <w:rPr>
          <w:rFonts w:eastAsia="Times New Roman" w:cs="Arial"/>
          <w:color w:val="555555"/>
          <w:lang w:eastAsia="en-CA"/>
        </w:rPr>
        <w:t>reapproval</w:t>
      </w:r>
      <w:proofErr w:type="spellEnd"/>
      <w:r w:rsidRPr="002A644B">
        <w:rPr>
          <w:rFonts w:eastAsia="Times New Roman" w:cs="Arial"/>
          <w:color w:val="555555"/>
          <w:lang w:eastAsia="en-CA"/>
        </w:rPr>
        <w:t xml:space="preserve"> is received, it will undergo delegated or full board review, according to the criteria above. When </w:t>
      </w:r>
      <w:proofErr w:type="spellStart"/>
      <w:r w:rsidRPr="002A644B">
        <w:rPr>
          <w:rFonts w:eastAsia="Times New Roman" w:cs="Arial"/>
          <w:color w:val="555555"/>
          <w:lang w:eastAsia="en-CA"/>
        </w:rPr>
        <w:t>reapproval</w:t>
      </w:r>
      <w:proofErr w:type="spellEnd"/>
      <w:r w:rsidRPr="002A644B">
        <w:rPr>
          <w:rFonts w:eastAsia="Times New Roman" w:cs="Arial"/>
          <w:color w:val="555555"/>
          <w:lang w:eastAsia="en-CA"/>
        </w:rPr>
        <w:t xml:space="preserve"> is granted, you will be issued a Certificate of </w:t>
      </w:r>
      <w:proofErr w:type="spellStart"/>
      <w:r w:rsidRPr="002A644B">
        <w:rPr>
          <w:rFonts w:eastAsia="Times New Roman" w:cs="Arial"/>
          <w:color w:val="555555"/>
          <w:lang w:eastAsia="en-CA"/>
        </w:rPr>
        <w:t>Reapproval</w:t>
      </w:r>
      <w:proofErr w:type="spellEnd"/>
      <w:r w:rsidRPr="002A644B">
        <w:rPr>
          <w:rFonts w:eastAsia="Times New Roman" w:cs="Arial"/>
          <w:color w:val="555555"/>
          <w:lang w:eastAsia="en-CA"/>
        </w:rPr>
        <w:t xml:space="preserve"> for a period of one year.</w:t>
      </w:r>
      <w:r w:rsidRPr="002A644B">
        <w:rPr>
          <w:rFonts w:eastAsia="Times New Roman" w:cs="Arial"/>
          <w:color w:val="555555"/>
          <w:lang w:eastAsia="en-CA"/>
        </w:rPr>
        <w:br/>
      </w:r>
      <w:r w:rsidRPr="002A644B">
        <w:rPr>
          <w:rFonts w:eastAsia="Times New Roman" w:cs="Arial"/>
          <w:color w:val="555555"/>
          <w:lang w:eastAsia="en-CA"/>
        </w:rPr>
        <w:br/>
      </w:r>
      <w:r w:rsidRPr="002A644B">
        <w:rPr>
          <w:rFonts w:eastAsia="Times New Roman" w:cs="Arial"/>
          <w:b/>
          <w:bCs/>
          <w:color w:val="555555"/>
          <w:lang w:eastAsia="en-CA"/>
        </w:rPr>
        <w:t>If your application is incomplete</w:t>
      </w:r>
      <w:r w:rsidRPr="002A644B">
        <w:rPr>
          <w:rFonts w:eastAsia="Times New Roman" w:cs="Arial"/>
          <w:color w:val="555555"/>
          <w:lang w:eastAsia="en-CA"/>
        </w:rPr>
        <w:t xml:space="preserve">, it will be returned to you for more information prior to </w:t>
      </w:r>
      <w:proofErr w:type="spellStart"/>
      <w:r w:rsidRPr="002A644B">
        <w:rPr>
          <w:rFonts w:eastAsia="Times New Roman" w:cs="Arial"/>
          <w:color w:val="555555"/>
          <w:lang w:eastAsia="en-CA"/>
        </w:rPr>
        <w:t>reapproval</w:t>
      </w:r>
      <w:proofErr w:type="spellEnd"/>
      <w:r w:rsidRPr="002A644B">
        <w:rPr>
          <w:rFonts w:eastAsia="Times New Roman" w:cs="Arial"/>
          <w:color w:val="555555"/>
          <w:lang w:eastAsia="en-CA"/>
        </w:rPr>
        <w:t xml:space="preserve"> being granted. You may also be requested to make changes to the previously approved consent form or study procedures in order to comply with current ethical guidelines.</w:t>
      </w:r>
      <w:r w:rsidRPr="002A644B">
        <w:rPr>
          <w:rFonts w:eastAsia="Times New Roman" w:cs="Arial"/>
          <w:color w:val="555555"/>
          <w:lang w:eastAsia="en-CA"/>
        </w:rPr>
        <w:br/>
      </w:r>
      <w:r w:rsidRPr="002A644B">
        <w:rPr>
          <w:rFonts w:eastAsia="Times New Roman" w:cs="Arial"/>
          <w:color w:val="555555"/>
          <w:lang w:eastAsia="en-CA"/>
        </w:rPr>
        <w:br/>
      </w:r>
      <w:r w:rsidRPr="002A644B">
        <w:rPr>
          <w:rFonts w:eastAsia="Times New Roman" w:cs="Arial"/>
          <w:b/>
          <w:bCs/>
          <w:color w:val="555555"/>
          <w:lang w:eastAsia="en-CA"/>
        </w:rPr>
        <w:t>Projects with extended periods of data collection</w:t>
      </w:r>
      <w:r w:rsidRPr="002A644B">
        <w:rPr>
          <w:rFonts w:eastAsia="Times New Roman" w:cs="Arial"/>
          <w:color w:val="555555"/>
          <w:lang w:eastAsia="en-CA"/>
        </w:rPr>
        <w:t xml:space="preserve"> will undergo a more rigorous review every 5 years in order to ensure compliance with ethical and legislative requirements. Although rare exceptions will be considered (e.g., annual follow-up with the same participants who were recruited earlier in the study), in almost all cases, a new application form will be required. This requirement applies to all types of research, regardless of whether or not direct patient contact is involved, including ongoing prospective databases. The REB will give investigators advance notice if a new application is going to be requested. Reapplications must be complete (e.g., application form, signatures, operational approvals, data collection tools, master list, </w:t>
      </w:r>
      <w:proofErr w:type="gramStart"/>
      <w:r w:rsidRPr="002A644B">
        <w:rPr>
          <w:rFonts w:eastAsia="Times New Roman" w:cs="Arial"/>
          <w:color w:val="555555"/>
          <w:lang w:eastAsia="en-CA"/>
        </w:rPr>
        <w:t>consent</w:t>
      </w:r>
      <w:proofErr w:type="gramEnd"/>
      <w:r w:rsidRPr="002A644B">
        <w:rPr>
          <w:rFonts w:eastAsia="Times New Roman" w:cs="Arial"/>
          <w:color w:val="555555"/>
          <w:lang w:eastAsia="en-CA"/>
        </w:rPr>
        <w:t xml:space="preserve"> form).</w:t>
      </w:r>
    </w:p>
    <w:p w:rsidR="002A52D6" w:rsidRPr="002A644B" w:rsidRDefault="002A52D6"/>
    <w:sectPr w:rsidR="002A52D6" w:rsidRPr="002A6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C32D8"/>
    <w:multiLevelType w:val="multilevel"/>
    <w:tmpl w:val="7C8EE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57876"/>
    <w:multiLevelType w:val="multilevel"/>
    <w:tmpl w:val="2F02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4B"/>
    <w:rsid w:val="002A52D6"/>
    <w:rsid w:val="002A644B"/>
    <w:rsid w:val="00991F2E"/>
    <w:rsid w:val="00CF56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644B"/>
    <w:pPr>
      <w:spacing w:after="480" w:line="630" w:lineRule="atLeast"/>
      <w:outlineLvl w:val="1"/>
    </w:pPr>
    <w:rPr>
      <w:rFonts w:ascii="inherit" w:eastAsia="Times New Roman" w:hAnsi="inherit" w:cs="Times New Roman"/>
      <w:color w:val="0E0E0E"/>
      <w:spacing w:val="-15"/>
      <w:sz w:val="53"/>
      <w:szCs w:val="53"/>
      <w:lang w:eastAsia="en-CA"/>
    </w:rPr>
  </w:style>
  <w:style w:type="paragraph" w:styleId="Heading4">
    <w:name w:val="heading 4"/>
    <w:basedOn w:val="Normal"/>
    <w:link w:val="Heading4Char"/>
    <w:uiPriority w:val="9"/>
    <w:qFormat/>
    <w:rsid w:val="002A644B"/>
    <w:pPr>
      <w:spacing w:after="210" w:line="405" w:lineRule="atLeast"/>
      <w:outlineLvl w:val="3"/>
    </w:pPr>
    <w:rPr>
      <w:rFonts w:ascii="inherit" w:eastAsia="Times New Roman" w:hAnsi="inherit" w:cs="Times New Roman"/>
      <w:color w:val="00833F"/>
      <w:sz w:val="34"/>
      <w:szCs w:val="3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44B"/>
    <w:rPr>
      <w:rFonts w:ascii="inherit" w:eastAsia="Times New Roman" w:hAnsi="inherit" w:cs="Times New Roman"/>
      <w:color w:val="0E0E0E"/>
      <w:spacing w:val="-15"/>
      <w:sz w:val="53"/>
      <w:szCs w:val="53"/>
      <w:lang w:eastAsia="en-CA"/>
    </w:rPr>
  </w:style>
  <w:style w:type="character" w:customStyle="1" w:styleId="Heading4Char">
    <w:name w:val="Heading 4 Char"/>
    <w:basedOn w:val="DefaultParagraphFont"/>
    <w:link w:val="Heading4"/>
    <w:uiPriority w:val="9"/>
    <w:rsid w:val="002A644B"/>
    <w:rPr>
      <w:rFonts w:ascii="inherit" w:eastAsia="Times New Roman" w:hAnsi="inherit" w:cs="Times New Roman"/>
      <w:color w:val="00833F"/>
      <w:sz w:val="34"/>
      <w:szCs w:val="34"/>
      <w:lang w:eastAsia="en-CA"/>
    </w:rPr>
  </w:style>
  <w:style w:type="character" w:styleId="Hyperlink">
    <w:name w:val="Hyperlink"/>
    <w:basedOn w:val="DefaultParagraphFont"/>
    <w:uiPriority w:val="99"/>
    <w:semiHidden/>
    <w:unhideWhenUsed/>
    <w:rsid w:val="002A644B"/>
    <w:rPr>
      <w:strike w:val="0"/>
      <w:dstrike w:val="0"/>
      <w:color w:val="1499CF"/>
      <w:u w:val="none"/>
      <w:effect w:val="none"/>
      <w:shd w:val="clear" w:color="auto" w:fill="auto"/>
    </w:rPr>
  </w:style>
  <w:style w:type="character" w:styleId="Strong">
    <w:name w:val="Strong"/>
    <w:basedOn w:val="DefaultParagraphFont"/>
    <w:uiPriority w:val="22"/>
    <w:qFormat/>
    <w:rsid w:val="002A644B"/>
    <w:rPr>
      <w:b/>
      <w:bCs/>
    </w:rPr>
  </w:style>
  <w:style w:type="paragraph" w:styleId="NormalWeb">
    <w:name w:val="Normal (Web)"/>
    <w:basedOn w:val="Normal"/>
    <w:uiPriority w:val="99"/>
    <w:semiHidden/>
    <w:unhideWhenUsed/>
    <w:rsid w:val="002A644B"/>
    <w:pPr>
      <w:spacing w:after="300" w:line="360" w:lineRule="atLeast"/>
    </w:pPr>
    <w:rPr>
      <w:rFonts w:ascii="Times New Roman" w:eastAsia="Times New Roman" w:hAnsi="Times New Roman" w:cs="Times New Roman"/>
      <w:color w:val="555555"/>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644B"/>
    <w:pPr>
      <w:spacing w:after="480" w:line="630" w:lineRule="atLeast"/>
      <w:outlineLvl w:val="1"/>
    </w:pPr>
    <w:rPr>
      <w:rFonts w:ascii="inherit" w:eastAsia="Times New Roman" w:hAnsi="inherit" w:cs="Times New Roman"/>
      <w:color w:val="0E0E0E"/>
      <w:spacing w:val="-15"/>
      <w:sz w:val="53"/>
      <w:szCs w:val="53"/>
      <w:lang w:eastAsia="en-CA"/>
    </w:rPr>
  </w:style>
  <w:style w:type="paragraph" w:styleId="Heading4">
    <w:name w:val="heading 4"/>
    <w:basedOn w:val="Normal"/>
    <w:link w:val="Heading4Char"/>
    <w:uiPriority w:val="9"/>
    <w:qFormat/>
    <w:rsid w:val="002A644B"/>
    <w:pPr>
      <w:spacing w:after="210" w:line="405" w:lineRule="atLeast"/>
      <w:outlineLvl w:val="3"/>
    </w:pPr>
    <w:rPr>
      <w:rFonts w:ascii="inherit" w:eastAsia="Times New Roman" w:hAnsi="inherit" w:cs="Times New Roman"/>
      <w:color w:val="00833F"/>
      <w:sz w:val="34"/>
      <w:szCs w:val="3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44B"/>
    <w:rPr>
      <w:rFonts w:ascii="inherit" w:eastAsia="Times New Roman" w:hAnsi="inherit" w:cs="Times New Roman"/>
      <w:color w:val="0E0E0E"/>
      <w:spacing w:val="-15"/>
      <w:sz w:val="53"/>
      <w:szCs w:val="53"/>
      <w:lang w:eastAsia="en-CA"/>
    </w:rPr>
  </w:style>
  <w:style w:type="character" w:customStyle="1" w:styleId="Heading4Char">
    <w:name w:val="Heading 4 Char"/>
    <w:basedOn w:val="DefaultParagraphFont"/>
    <w:link w:val="Heading4"/>
    <w:uiPriority w:val="9"/>
    <w:rsid w:val="002A644B"/>
    <w:rPr>
      <w:rFonts w:ascii="inherit" w:eastAsia="Times New Roman" w:hAnsi="inherit" w:cs="Times New Roman"/>
      <w:color w:val="00833F"/>
      <w:sz w:val="34"/>
      <w:szCs w:val="34"/>
      <w:lang w:eastAsia="en-CA"/>
    </w:rPr>
  </w:style>
  <w:style w:type="character" w:styleId="Hyperlink">
    <w:name w:val="Hyperlink"/>
    <w:basedOn w:val="DefaultParagraphFont"/>
    <w:uiPriority w:val="99"/>
    <w:semiHidden/>
    <w:unhideWhenUsed/>
    <w:rsid w:val="002A644B"/>
    <w:rPr>
      <w:strike w:val="0"/>
      <w:dstrike w:val="0"/>
      <w:color w:val="1499CF"/>
      <w:u w:val="none"/>
      <w:effect w:val="none"/>
      <w:shd w:val="clear" w:color="auto" w:fill="auto"/>
    </w:rPr>
  </w:style>
  <w:style w:type="character" w:styleId="Strong">
    <w:name w:val="Strong"/>
    <w:basedOn w:val="DefaultParagraphFont"/>
    <w:uiPriority w:val="22"/>
    <w:qFormat/>
    <w:rsid w:val="002A644B"/>
    <w:rPr>
      <w:b/>
      <w:bCs/>
    </w:rPr>
  </w:style>
  <w:style w:type="paragraph" w:styleId="NormalWeb">
    <w:name w:val="Normal (Web)"/>
    <w:basedOn w:val="Normal"/>
    <w:uiPriority w:val="99"/>
    <w:semiHidden/>
    <w:unhideWhenUsed/>
    <w:rsid w:val="002A644B"/>
    <w:pPr>
      <w:spacing w:after="300" w:line="360" w:lineRule="atLeast"/>
    </w:pPr>
    <w:rPr>
      <w:rFonts w:ascii="Times New Roman" w:eastAsia="Times New Roman" w:hAnsi="Times New Roman" w:cs="Times New Roman"/>
      <w:color w:val="555555"/>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8247">
      <w:bodyDiv w:val="1"/>
      <w:marLeft w:val="0"/>
      <w:marRight w:val="0"/>
      <w:marTop w:val="0"/>
      <w:marBottom w:val="0"/>
      <w:divBdr>
        <w:top w:val="none" w:sz="0" w:space="0" w:color="auto"/>
        <w:left w:val="none" w:sz="0" w:space="0" w:color="auto"/>
        <w:bottom w:val="none" w:sz="0" w:space="0" w:color="auto"/>
        <w:right w:val="none" w:sz="0" w:space="0" w:color="auto"/>
      </w:divBdr>
      <w:divsChild>
        <w:div w:id="1849447703">
          <w:marLeft w:val="0"/>
          <w:marRight w:val="0"/>
          <w:marTop w:val="0"/>
          <w:marBottom w:val="0"/>
          <w:divBdr>
            <w:top w:val="none" w:sz="0" w:space="0" w:color="auto"/>
            <w:left w:val="none" w:sz="0" w:space="0" w:color="auto"/>
            <w:bottom w:val="none" w:sz="0" w:space="0" w:color="auto"/>
            <w:right w:val="none" w:sz="0" w:space="0" w:color="auto"/>
          </w:divBdr>
          <w:divsChild>
            <w:div w:id="1266111013">
              <w:marLeft w:val="0"/>
              <w:marRight w:val="0"/>
              <w:marTop w:val="0"/>
              <w:marBottom w:val="0"/>
              <w:divBdr>
                <w:top w:val="none" w:sz="0" w:space="0" w:color="auto"/>
                <w:left w:val="none" w:sz="0" w:space="0" w:color="auto"/>
                <w:bottom w:val="none" w:sz="0" w:space="0" w:color="auto"/>
                <w:right w:val="none" w:sz="0" w:space="0" w:color="auto"/>
              </w:divBdr>
              <w:divsChild>
                <w:div w:id="1646618500">
                  <w:marLeft w:val="-225"/>
                  <w:marRight w:val="-225"/>
                  <w:marTop w:val="0"/>
                  <w:marBottom w:val="0"/>
                  <w:divBdr>
                    <w:top w:val="none" w:sz="0" w:space="0" w:color="auto"/>
                    <w:left w:val="none" w:sz="0" w:space="0" w:color="auto"/>
                    <w:bottom w:val="none" w:sz="0" w:space="0" w:color="auto"/>
                    <w:right w:val="none" w:sz="0" w:space="0" w:color="auto"/>
                  </w:divBdr>
                  <w:divsChild>
                    <w:div w:id="541601331">
                      <w:marLeft w:val="0"/>
                      <w:marRight w:val="0"/>
                      <w:marTop w:val="0"/>
                      <w:marBottom w:val="0"/>
                      <w:divBdr>
                        <w:top w:val="none" w:sz="0" w:space="0" w:color="auto"/>
                        <w:left w:val="none" w:sz="0" w:space="0" w:color="auto"/>
                        <w:bottom w:val="none" w:sz="0" w:space="0" w:color="auto"/>
                        <w:right w:val="none" w:sz="0" w:space="0" w:color="auto"/>
                      </w:divBdr>
                      <w:divsChild>
                        <w:div w:id="191648374">
                          <w:marLeft w:val="0"/>
                          <w:marRight w:val="0"/>
                          <w:marTop w:val="0"/>
                          <w:marBottom w:val="300"/>
                          <w:divBdr>
                            <w:top w:val="none" w:sz="0" w:space="0" w:color="auto"/>
                            <w:left w:val="none" w:sz="0" w:space="0" w:color="auto"/>
                            <w:bottom w:val="none" w:sz="0" w:space="0" w:color="auto"/>
                            <w:right w:val="none" w:sz="0" w:space="0" w:color="auto"/>
                          </w:divBdr>
                          <w:divsChild>
                            <w:div w:id="1606502290">
                              <w:marLeft w:val="0"/>
                              <w:marRight w:val="0"/>
                              <w:marTop w:val="0"/>
                              <w:marBottom w:val="300"/>
                              <w:divBdr>
                                <w:top w:val="none" w:sz="0" w:space="0" w:color="auto"/>
                                <w:left w:val="none" w:sz="0" w:space="0" w:color="auto"/>
                                <w:bottom w:val="none" w:sz="0" w:space="0" w:color="auto"/>
                                <w:right w:val="none" w:sz="0" w:space="0" w:color="auto"/>
                              </w:divBdr>
                              <w:divsChild>
                                <w:div w:id="1588540092">
                                  <w:marLeft w:val="0"/>
                                  <w:marRight w:val="0"/>
                                  <w:marTop w:val="0"/>
                                  <w:marBottom w:val="0"/>
                                  <w:divBdr>
                                    <w:top w:val="none" w:sz="0" w:space="0" w:color="auto"/>
                                    <w:left w:val="none" w:sz="0" w:space="0" w:color="auto"/>
                                    <w:bottom w:val="none" w:sz="0" w:space="0" w:color="auto"/>
                                    <w:right w:val="none" w:sz="0" w:space="0" w:color="auto"/>
                                  </w:divBdr>
                                </w:div>
                                <w:div w:id="1920560919">
                                  <w:marLeft w:val="0"/>
                                  <w:marRight w:val="0"/>
                                  <w:marTop w:val="0"/>
                                  <w:marBottom w:val="0"/>
                                  <w:divBdr>
                                    <w:top w:val="none" w:sz="0" w:space="0" w:color="auto"/>
                                    <w:left w:val="none" w:sz="0" w:space="0" w:color="auto"/>
                                    <w:bottom w:val="none" w:sz="0" w:space="0" w:color="auto"/>
                                    <w:right w:val="none" w:sz="0" w:space="0" w:color="auto"/>
                                  </w:divBdr>
                                </w:div>
                              </w:divsChild>
                            </w:div>
                            <w:div w:id="2112821707">
                              <w:marLeft w:val="0"/>
                              <w:marRight w:val="0"/>
                              <w:marTop w:val="0"/>
                              <w:marBottom w:val="300"/>
                              <w:divBdr>
                                <w:top w:val="none" w:sz="0" w:space="0" w:color="auto"/>
                                <w:left w:val="none" w:sz="0" w:space="0" w:color="auto"/>
                                <w:bottom w:val="none" w:sz="0" w:space="0" w:color="auto"/>
                                <w:right w:val="none" w:sz="0" w:space="0" w:color="auto"/>
                              </w:divBdr>
                              <w:divsChild>
                                <w:div w:id="18290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Qu'Appelle Health Region</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Information Technology</cp:lastModifiedBy>
  <cp:revision>2</cp:revision>
  <dcterms:created xsi:type="dcterms:W3CDTF">2021-03-02T20:16:00Z</dcterms:created>
  <dcterms:modified xsi:type="dcterms:W3CDTF">2021-03-02T20:16:00Z</dcterms:modified>
</cp:coreProperties>
</file>